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150"/>
      </w:pPr>
      <w:r>
        <w:t xml:space="preserve">Staff briefing checklist</w:t>
      </w:r>
    </w:p>
    <w:p>
      <w:pPr>
        <w:spacing w:after="150"/>
      </w:pPr>
      <w:r>
        <w:t xml:space="preserve">A briefing is useful only if people understand their actual role. This checklist is a planning aid; a signature alone does not show that a procedure is appropriate, understood or implemented.</w:t>
      </w:r>
    </w:p>
    <w:p>
      <w:pPr>
        <w:pStyle w:val="Heading1"/>
        <w:spacing w:after="150"/>
      </w:pPr>
      <w:r>
        <w:t xml:space="preserve">Before the briefing</w:t>
      </w:r>
    </w:p>
    <w:p>
      <w:pPr>
        <w:pStyle w:val="ListParagraph"/>
        <w:numPr>
          <w:ilvl w:val="0"/>
          <w:numId w:val="1"/>
        </w:numPr>
        <w:spacing w:after="150"/>
      </w:pPr>
      <w:r>
        <w:t xml:space="preserve">Use the current venue-reviewed version of the arrangements. Confirm that proposed roles and resources actually exist.</w:t>
      </w:r>
    </w:p>
    <w:p>
      <w:pPr>
        <w:pStyle w:val="ListParagraph"/>
        <w:numPr>
          <w:ilvl w:val="0"/>
          <w:numId w:val="1"/>
        </w:numPr>
        <w:spacing w:after="150"/>
      </w:pPr>
      <w:r>
        <w:t xml:space="preserve">Identify relevant employees, volunteers, contractors, temporary workers and hirers; consider shift cover and accessible formats.</w:t>
      </w:r>
    </w:p>
    <w:p>
      <w:pPr>
        <w:pStyle w:val="ListParagraph"/>
        <w:numPr>
          <w:ilvl w:val="0"/>
          <w:numId w:val="1"/>
        </w:numPr>
        <w:spacing w:after="150"/>
      </w:pPr>
      <w:r>
        <w:t xml:space="preserve">Keep restricted security details within the group that needs them.</w:t>
      </w:r>
    </w:p>
    <w:p>
      <w:pPr>
        <w:pStyle w:val="Heading1"/>
        <w:spacing w:after="150"/>
      </w:pPr>
      <w:r>
        <w:t xml:space="preserve">During the briefing</w:t>
      </w:r>
    </w:p>
    <w:p>
      <w:pPr>
        <w:pStyle w:val="ListParagraph"/>
        <w:numPr>
          <w:ilvl w:val="0"/>
          <w:numId w:val="1"/>
        </w:numPr>
        <w:spacing w:after="150"/>
      </w:pPr>
      <w:r>
        <w:t xml:space="preserve">Explain who issues instructions, who covers absences and how updates are communicated.</w:t>
      </w:r>
    </w:p>
    <w:p>
      <w:pPr>
        <w:pStyle w:val="ListParagraph"/>
        <w:numPr>
          <w:ilvl w:val="0"/>
          <w:numId w:val="1"/>
        </w:numPr>
        <w:spacing w:after="150"/>
      </w:pPr>
      <w:r>
        <w:t xml:space="preserve">Discuss the appropriate purpose and limitations of evacuation, invacuation, lockdown and communication.</w:t>
      </w:r>
    </w:p>
    <w:p>
      <w:pPr>
        <w:pStyle w:val="ListParagraph"/>
        <w:numPr>
          <w:ilvl w:val="0"/>
          <w:numId w:val="1"/>
        </w:numPr>
        <w:spacing w:after="150"/>
      </w:pPr>
      <w:r>
        <w:t xml:space="preserve">Check how people would obtain help or raise uncertainty rather than guessing.</w:t>
      </w:r>
    </w:p>
    <w:p>
      <w:pPr>
        <w:pStyle w:val="ListParagraph"/>
        <w:numPr>
          <w:ilvl w:val="0"/>
          <w:numId w:val="1"/>
        </w:numPr>
        <w:spacing w:after="150"/>
      </w:pPr>
      <w:r>
        <w:t xml:space="preserve">Ask people to explain their role in their own words; record questions and follow-up needs.</w:t>
      </w:r>
    </w:p>
    <w:p>
      <w:pPr>
        <w:pStyle w:val="Heading1"/>
        <w:spacing w:after="150"/>
      </w:pPr>
      <w:r>
        <w:t xml:space="preserve">After the briefing</w:t>
      </w:r>
    </w:p>
    <w:p>
      <w:pPr>
        <w:pStyle w:val="ListParagraph"/>
        <w:numPr>
          <w:ilvl w:val="0"/>
          <w:numId w:val="1"/>
        </w:numPr>
        <w:spacing w:after="150"/>
      </w:pPr>
      <w:r>
        <w:t xml:space="preserve">Record what was covered, which document version was used and who needs a catch-up.</w:t>
      </w:r>
    </w:p>
    <w:p>
      <w:pPr>
        <w:pStyle w:val="ListParagraph"/>
        <w:numPr>
          <w:ilvl w:val="0"/>
          <w:numId w:val="1"/>
        </w:numPr>
        <w:spacing w:after="150"/>
      </w:pPr>
      <w:r>
        <w:t xml:space="preserve">Resolve questions, update arrangements and assign an owner and due date.</w:t>
      </w:r>
    </w:p>
    <w:p>
      <w:pPr>
        <w:pStyle w:val="ListParagraph"/>
        <w:numPr>
          <w:ilvl w:val="0"/>
          <w:numId w:val="1"/>
        </w:numPr>
        <w:spacing w:after="150"/>
      </w:pPr>
      <w:r>
        <w:t xml:space="preserve">Rebrief when arrangements, personnel, site use or relevant guidance change.</w:t>
      </w:r>
    </w:p>
    <w:p>
      <w:pPr>
        <w:pStyle w:val="Heading2"/>
        <w:spacing w:after="150"/>
      </w:pPr>
      <w:r>
        <w:t xml:space="preserve">Venue, briefing date, facilitator and document version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Mar>
              <w:top w:type="dxa" w:w="160"/>
              <w:left w:type="dxa" w:w="160"/>
              <w:bottom w:type="dxa" w:w="160"/>
              <w:right w:type="dxa" w:w="160"/>
            </w:tcMar>
          </w:tcPr>
          <w:p>
            <w:pPr>
              <w:spacing w:after="150"/>
            </w:pPr>
            <w:r>
              <w:t xml:space="preserve">Requires venue review — enter your confirmed information here.</w:t>
            </w:r>
          </w:p>
          <w:p>
            <w:pPr>
              <w:spacing w:after="150"/>
            </w:pPr>
            <w:r>
              <w:t xml:space="preserve"> </w:t>
            </w:r>
          </w:p>
          <w:p>
            <w:pPr>
              <w:spacing w:after="150"/>
            </w:pPr>
            <w:r>
              <w:t xml:space="preserve"> </w:t>
            </w:r>
          </w:p>
        </w:tc>
      </w:tr>
    </w:tbl>
    <w:p>
      <w:pPr>
        <w:pStyle w:val="Heading2"/>
        <w:spacing w:after="150"/>
      </w:pPr>
      <w:r>
        <w:t xml:space="preserve">Attendees / roles (restrict access to personal information)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Mar>
              <w:top w:type="dxa" w:w="160"/>
              <w:left w:type="dxa" w:w="160"/>
              <w:bottom w:type="dxa" w:w="160"/>
              <w:right w:type="dxa" w:w="160"/>
            </w:tcMar>
          </w:tcPr>
          <w:p>
            <w:pPr>
              <w:spacing w:after="150"/>
            </w:pPr>
            <w:r>
              <w:t xml:space="preserve">Requires venue review — enter your confirmed information here.</w:t>
            </w:r>
          </w:p>
          <w:p>
            <w:pPr>
              <w:spacing w:after="150"/>
            </w:pPr>
            <w:r>
              <w:t xml:space="preserve"> </w:t>
            </w:r>
          </w:p>
          <w:p>
            <w:pPr>
              <w:spacing w:after="150"/>
            </w:pPr>
            <w:r>
              <w:t xml:space="preserve"> </w:t>
            </w:r>
          </w:p>
        </w:tc>
      </w:tr>
    </w:tbl>
    <w:p>
      <w:pPr>
        <w:pStyle w:val="Heading2"/>
        <w:spacing w:after="150"/>
      </w:pPr>
      <w:r>
        <w:t xml:space="preserve">Topics covered and understanding checked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Mar>
              <w:top w:type="dxa" w:w="160"/>
              <w:left w:type="dxa" w:w="160"/>
              <w:bottom w:type="dxa" w:w="160"/>
              <w:right w:type="dxa" w:w="160"/>
            </w:tcMar>
          </w:tcPr>
          <w:p>
            <w:pPr>
              <w:spacing w:after="150"/>
            </w:pPr>
            <w:r>
              <w:t xml:space="preserve">Requires venue review — enter your confirmed information here.</w:t>
            </w:r>
          </w:p>
          <w:p>
            <w:pPr>
              <w:spacing w:after="150"/>
            </w:pPr>
            <w:r>
              <w:t xml:space="preserve"> </w:t>
            </w:r>
          </w:p>
          <w:p>
            <w:pPr>
              <w:spacing w:after="150"/>
            </w:pPr>
            <w:r>
              <w:t xml:space="preserve"> </w:t>
            </w:r>
          </w:p>
        </w:tc>
      </w:tr>
    </w:tbl>
    <w:p>
      <w:pPr>
        <w:pStyle w:val="Heading2"/>
        <w:spacing w:after="150"/>
      </w:pPr>
      <w:r>
        <w:t xml:space="preserve">Questions, gaps and additional support required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Mar>
              <w:top w:type="dxa" w:w="160"/>
              <w:left w:type="dxa" w:w="160"/>
              <w:bottom w:type="dxa" w:w="160"/>
              <w:right w:type="dxa" w:w="160"/>
            </w:tcMar>
          </w:tcPr>
          <w:p>
            <w:pPr>
              <w:spacing w:after="150"/>
            </w:pPr>
            <w:r>
              <w:t xml:space="preserve">Requires venue review — enter your confirmed information here.</w:t>
            </w:r>
          </w:p>
          <w:p>
            <w:pPr>
              <w:spacing w:after="150"/>
            </w:pPr>
            <w:r>
              <w:t xml:space="preserve"> </w:t>
            </w:r>
          </w:p>
          <w:p>
            <w:pPr>
              <w:spacing w:after="150"/>
            </w:pPr>
            <w:r>
              <w:t xml:space="preserve"> </w:t>
            </w:r>
          </w:p>
        </w:tc>
      </w:tr>
    </w:tbl>
    <w:p>
      <w:pPr>
        <w:pStyle w:val="Heading2"/>
        <w:spacing w:after="150"/>
      </w:pPr>
      <w:r>
        <w:t xml:space="preserve">Catch-up actions, owners and dates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Mar>
              <w:top w:type="dxa" w:w="160"/>
              <w:left w:type="dxa" w:w="160"/>
              <w:bottom w:type="dxa" w:w="160"/>
              <w:right w:type="dxa" w:w="160"/>
            </w:tcMar>
          </w:tcPr>
          <w:p>
            <w:pPr>
              <w:spacing w:after="150"/>
            </w:pPr>
            <w:r>
              <w:t xml:space="preserve">Requires venue review — enter your confirmed information here.</w:t>
            </w:r>
          </w:p>
          <w:p>
            <w:pPr>
              <w:spacing w:after="150"/>
            </w:pPr>
            <w:r>
              <w:t xml:space="preserve"> </w:t>
            </w:r>
          </w:p>
          <w:p>
            <w:pPr>
              <w:spacing w:after="150"/>
            </w:pPr>
            <w:r>
              <w:t xml:space="preserve"> </w:t>
            </w:r>
          </w:p>
        </w:tc>
      </w:tr>
    </w:tbl>
    <w:p>
      <w:pPr>
        <w:pStyle w:val="Heading1"/>
        <w:spacing w:after="150"/>
      </w:pPr>
      <w:r>
        <w:t xml:space="preserve">Official guidance and responsible use</w:t>
      </w:r>
    </w:p>
    <w:p>
      <w:pPr>
        <w:spacing w:after="150"/>
      </w:pPr>
      <w:r>
        <w:t xml:space="preserve">Independent planning aid. Not legal advice, an official SIA template, certification or a guarantee of compliance. Review and adapt to the real premises. Keep completed security information restricted.</w:t>
      </w:r>
    </w:p>
    <w:p>
      <w:pPr>
        <w:spacing w:after="150"/>
      </w:pPr>
      <w:r>
        <w:t xml:space="preserve">Home Office statutory guidance: https://www.gov.uk/government/publications/the-terrorism-protection-of-premises-act-2025/terrorism-protection-of-premises-act-2025-statutory-guidance</w:t>
      </w:r>
    </w:p>
    <w:p>
      <w:pPr>
        <w:spacing w:after="150"/>
      </w:pPr>
      <w:r>
        <w:t xml:space="preserve">SIA explanation and notification updates: https://www.gov.uk/guidance/understanding-martyns-law-and-the-sias-role-as-regulator</w:t>
      </w:r>
    </w:p>
    <w:p>
      <w:pPr>
        <w:spacing w:after="150"/>
      </w:pPr>
      <w:r>
        <w:t xml:space="preserve">GOV.UK collection: https://www.gov.uk/government/collections/terrorism-protection-of-premises-act-2025</w:t>
      </w:r>
    </w:p>
    <w:p>
      <w:pPr>
        <w:spacing w:after="150"/>
      </w:pPr>
      <w:r>
        <w:t xml:space="preserve">ProtectUK: https://www.protectuk.police.uk/</w:t>
      </w:r>
    </w:p>
    <w:sectPr>
      <w:headerReference w:type="default" r:id="rId6"/>
      <w:footerReference w:type="default" r:id="rId7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rPr>
        <w:sz w:val="16"/>
        <w:szCs w:val="16"/>
      </w:rPr>
      <w:t xml:space="preserve">venueplan.co.uk  |  Reviewed 2026-11-06  |  Page </w:t>
    </w:r>
    <w:r>
      <w:rPr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rPr>
        <w:b/>
        <w:bCs/>
        <w:color w:val="0A7C70"/>
      </w:rPr>
      <w:t xml:space="preserve">VenuePlan  /  Free preparation resources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0B1F2E"/>
        <w:sz w:val="22"/>
        <w:szCs w:val="22"/>
      </w:rPr>
    </w:rPrDefault>
    <w:pPrDefault>
      <w:pPr>
        <w:spacing w:after="14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Staff briefing checklist</dc:title>
  <dc:creator>VenuePlan</dc:creator>
  <dc:description>Editable preparation worksheet, not certification.</dc:description>
  <cp:lastModifiedBy>Un-named</cp:lastModifiedBy>
  <cp:revision>1</cp:revision>
  <dcterms:created xsi:type="dcterms:W3CDTF">2026-11-07T13:25:04.740Z</dcterms:created>
  <dcterms:modified xsi:type="dcterms:W3CDTF">2026-11-07T13:25:04.740Z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